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C2FA" w14:textId="50BED228" w:rsidR="00967CC7" w:rsidRPr="00967CC7" w:rsidRDefault="00967CC7" w:rsidP="00C14C5A">
      <w:pPr>
        <w:rPr>
          <w:rFonts w:cstheme="minorHAnsi"/>
          <w:color w:val="000000"/>
        </w:rPr>
      </w:pPr>
      <w:r w:rsidRPr="00967CC7">
        <w:rPr>
          <w:rFonts w:cstheme="minorHAnsi"/>
          <w:color w:val="000000"/>
          <w:lang w:val="en"/>
        </w:rPr>
        <w:t xml:space="preserve">SUBJECT </w:t>
      </w:r>
      <w:r w:rsidRPr="00967CC7">
        <w:rPr>
          <w:rFonts w:cstheme="minorHAnsi"/>
          <w:b/>
          <w:bCs/>
          <w:color w:val="000000"/>
          <w:lang w:val="en"/>
        </w:rPr>
        <w:t>taxation of travel services provided by companies established in third countries; Extension of the non-objection rule</w:t>
      </w:r>
      <w:r w:rsidRPr="00967CC7">
        <w:rPr>
          <w:rFonts w:cstheme="minorHAnsi"/>
          <w:b/>
          <w:bCs/>
          <w:color w:val="000000"/>
          <w:lang w:val="en"/>
        </w:rPr>
        <w:br/>
      </w:r>
      <w:r w:rsidRPr="00967CC7">
        <w:rPr>
          <w:rFonts w:cstheme="minorHAnsi"/>
          <w:b/>
          <w:bCs/>
          <w:color w:val="000000"/>
          <w:lang w:val="en"/>
        </w:rPr>
        <w:br/>
      </w:r>
      <w:r w:rsidRPr="00967CC7">
        <w:rPr>
          <w:rFonts w:cstheme="minorHAnsi"/>
          <w:color w:val="000000"/>
          <w:lang w:val="en"/>
        </w:rPr>
        <w:t xml:space="preserve">REFERENCE </w:t>
      </w:r>
      <w:r w:rsidRPr="00967CC7">
        <w:rPr>
          <w:rFonts w:cstheme="minorHAnsi"/>
          <w:lang w:val="en"/>
        </w:rPr>
        <w:t xml:space="preserve"> BMF letter of 29 January 2021- III C 2-S 7419/19/10002:004 (DOK 2020/0981332) –GZ </w:t>
      </w:r>
      <w:r w:rsidRPr="00967CC7">
        <w:rPr>
          <w:rFonts w:cstheme="minorHAnsi"/>
          <w:b/>
          <w:bCs/>
          <w:color w:val="000000"/>
          <w:lang w:val="en"/>
        </w:rPr>
        <w:t>III C 2 - S 7419/19/10002 :004 DOC 2022/</w:t>
      </w:r>
      <w:r w:rsidRPr="00967CC7">
        <w:rPr>
          <w:rFonts w:cstheme="minorHAnsi"/>
          <w:b/>
          <w:bCs/>
          <w:color w:val="000000"/>
          <w:lang w:val="en"/>
        </w:rPr>
        <w:br/>
      </w:r>
      <w:r w:rsidRPr="00967CC7">
        <w:rPr>
          <w:rFonts w:cstheme="minorHAnsi"/>
          <w:b/>
          <w:bCs/>
          <w:color w:val="000000"/>
          <w:lang w:val="en"/>
        </w:rPr>
        <w:br/>
        <w:t>1256206</w:t>
      </w:r>
      <w:r>
        <w:rPr>
          <w:rFonts w:cstheme="minorHAnsi"/>
          <w:b/>
          <w:bCs/>
          <w:color w:val="000000"/>
          <w:lang w:val="en"/>
        </w:rPr>
        <w:t xml:space="preserve"> </w:t>
      </w:r>
      <w:r w:rsidRPr="00967CC7">
        <w:rPr>
          <w:rFonts w:cstheme="minorHAnsi"/>
          <w:color w:val="000000"/>
          <w:lang w:val="en"/>
        </w:rPr>
        <w:t>(please specify GZ and DOK when replying)</w:t>
      </w:r>
    </w:p>
    <w:p w14:paraId="68F34C4C" w14:textId="03155BFF" w:rsidR="00967CC7" w:rsidRPr="00967CC7" w:rsidRDefault="00967CC7" w:rsidP="00BE783C">
      <w:pPr>
        <w:rPr>
          <w:rStyle w:val="fontstyle01"/>
          <w:rFonts w:asciiTheme="minorHAnsi" w:hAnsiTheme="minorHAnsi" w:cstheme="minorHAnsi"/>
          <w:sz w:val="22"/>
          <w:szCs w:val="22"/>
          <w:lang w:val="en"/>
        </w:rPr>
      </w:pPr>
      <w:r w:rsidRPr="00967CC7">
        <w:rPr>
          <w:rFonts w:cstheme="minorHAnsi"/>
          <w:b/>
          <w:bCs/>
          <w:color w:val="000000"/>
          <w:lang w:val="en"/>
        </w:rPr>
        <w:br/>
      </w:r>
      <w:r w:rsidRPr="00967CC7">
        <w:rPr>
          <w:rStyle w:val="fontstyle01"/>
          <w:rFonts w:asciiTheme="minorHAnsi" w:hAnsiTheme="minorHAnsi" w:cstheme="minorHAnsi"/>
          <w:sz w:val="22"/>
          <w:szCs w:val="22"/>
          <w:lang w:val="en"/>
        </w:rPr>
        <w:t>I.</w:t>
      </w:r>
    </w:p>
    <w:p w14:paraId="4D26EAAC" w14:textId="21F37993" w:rsidR="00967CC7" w:rsidRPr="00967CC7" w:rsidRDefault="00967CC7" w:rsidP="00BE783C">
      <w:pPr>
        <w:rPr>
          <w:rFonts w:cstheme="minorHAnsi"/>
          <w:lang w:val="en"/>
        </w:rPr>
      </w:pPr>
      <w:r w:rsidRPr="00967CC7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  <w:lang w:val="en"/>
        </w:rPr>
        <w:t>In</w:t>
      </w:r>
      <w:r w:rsidRPr="00967CC7">
        <w:rPr>
          <w:rFonts w:cstheme="minorHAnsi"/>
          <w:lang w:val="en"/>
        </w:rPr>
        <w:t xml:space="preserve"> </w:t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 xml:space="preserve">BMF letter of 29 January 2021, III C 2 - S 7419/19/10002:004 </w:t>
      </w:r>
      <w:r w:rsidRPr="00967CC7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  <w:lang w:val="en"/>
        </w:rPr>
        <w:t>(DOK 2020/</w:t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 xml:space="preserve">0981332), the highest tax authorities of the Federation and the Länder decided that Paragraph 25 of the </w:t>
      </w:r>
      <w:proofErr w:type="spellStart"/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UStG</w:t>
      </w:r>
      <w:proofErr w:type="spellEnd"/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 xml:space="preserve"> does not apply to travel services provided by traders established in third countries and without a fixed establishment in Community territory. For reasons</w:t>
      </w:r>
      <w:r w:rsidRPr="00967CC7">
        <w:rPr>
          <w:rFonts w:cstheme="minorHAnsi"/>
          <w:lang w:val="en"/>
        </w:rPr>
        <w:t xml:space="preserve"> of the protection of legitimate expectations, there is no objection if </w:t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 xml:space="preserve">the special provision of § 25 </w:t>
      </w:r>
      <w:proofErr w:type="spellStart"/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UStG</w:t>
      </w:r>
      <w:proofErr w:type="spellEnd"/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 xml:space="preserve"> is applied</w:t>
      </w:r>
      <w:r w:rsidRPr="00967CC7">
        <w:rPr>
          <w:rFonts w:cstheme="minorHAnsi"/>
          <w:lang w:val="en"/>
        </w:rPr>
        <w:t xml:space="preserve"> to travel services carried out </w:t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until 31 December 2020 by entrepreneurs established in a third country and without a fixed establishment in</w:t>
      </w:r>
      <w:r w:rsidRPr="00967CC7">
        <w:rPr>
          <w:rFonts w:cstheme="minorHAnsi"/>
          <w:lang w:val="en"/>
        </w:rPr>
        <w:t xml:space="preserve"> Community territory. </w:t>
      </w:r>
    </w:p>
    <w:p w14:paraId="5208ECD1" w14:textId="77777777" w:rsidR="00967CC7" w:rsidRPr="00967CC7" w:rsidRDefault="00967CC7" w:rsidP="00BE783C">
      <w:pPr>
        <w:rPr>
          <w:rStyle w:val="fontstyle01"/>
          <w:rFonts w:asciiTheme="minorHAnsi" w:hAnsiTheme="minorHAnsi" w:cstheme="minorHAnsi"/>
          <w:sz w:val="22"/>
          <w:szCs w:val="22"/>
          <w:lang w:val="en"/>
        </w:rPr>
      </w:pPr>
      <w:r w:rsidRPr="00967CC7">
        <w:rPr>
          <w:rFonts w:cstheme="minorHAnsi"/>
          <w:color w:val="000000"/>
          <w:lang w:val="en"/>
        </w:rPr>
        <w:br/>
      </w:r>
      <w:r w:rsidRPr="00967CC7">
        <w:rPr>
          <w:rStyle w:val="fontstyle01"/>
          <w:rFonts w:asciiTheme="minorHAnsi" w:hAnsiTheme="minorHAnsi" w:cstheme="minorHAnsi"/>
          <w:sz w:val="22"/>
          <w:szCs w:val="22"/>
          <w:lang w:val="en"/>
        </w:rPr>
        <w:t>II.</w:t>
      </w:r>
    </w:p>
    <w:p w14:paraId="48492F55" w14:textId="3B71F94C" w:rsidR="00967CC7" w:rsidRPr="00967CC7" w:rsidRDefault="00967CC7" w:rsidP="00BE783C">
      <w:pPr>
        <w:rPr>
          <w:rFonts w:cstheme="minorHAnsi"/>
        </w:rPr>
      </w:pPr>
      <w:r w:rsidRPr="00967CC7"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  <w:lang w:val="en"/>
        </w:rPr>
        <w:t>With</w:t>
      </w:r>
      <w:r w:rsidRPr="00967CC7">
        <w:rPr>
          <w:rFonts w:cstheme="minorHAnsi"/>
          <w:lang w:val="en"/>
        </w:rPr>
        <w:t xml:space="preserve"> </w:t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reference to the outcome of the discussion with the highest tax authorities</w:t>
      </w:r>
      <w:r w:rsidRPr="00967CC7">
        <w:rPr>
          <w:rFonts w:cstheme="minorHAnsi"/>
          <w:lang w:val="en"/>
        </w:rPr>
        <w:t xml:space="preserve"> of the Länder, the non-objection provision contained in the BMF letter of 29 January 2021, III C 2 - S 7419/19/10002:004 (DOK 2020/</w:t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0981332), the non-objection provision contained in the BMF letter</w:t>
      </w:r>
      <w:r w:rsidRPr="00967CC7">
        <w:rPr>
          <w:rFonts w:cstheme="minorHAnsi"/>
          <w:lang w:val="en"/>
        </w:rPr>
        <w:t xml:space="preserve"> of 29 March 2021 - III C 2-S 7419/19/10002:004 (DOK 2021/0361661) until 31 December 2021 </w:t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and by BMF letter of 1 December 2021 – III C 2 - S 7419/19/10002 :004</w:t>
      </w:r>
      <w:r w:rsidRPr="00967CC7">
        <w:rPr>
          <w:rFonts w:cstheme="minorHAnsi"/>
          <w:color w:val="000000"/>
          <w:lang w:val="en"/>
        </w:rPr>
        <w:br/>
      </w:r>
      <w:r w:rsidRPr="00967CC7">
        <w:rPr>
          <w:rFonts w:cstheme="minorHAnsi"/>
          <w:lang w:val="en"/>
        </w:rPr>
        <w:t xml:space="preserve"> </w:t>
      </w:r>
      <w:r w:rsidRPr="00967CC7">
        <w:rPr>
          <w:rFonts w:cstheme="minorHAnsi"/>
          <w:color w:val="000000"/>
          <w:lang w:val="en"/>
        </w:rPr>
        <w:br/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This letter will be published in Part I of the Federal Tax Gazette. It is now available for download for a transitional period on the website of the Federal Ministry of Finance</w:t>
      </w:r>
      <w:r w:rsidRPr="00967CC7">
        <w:rPr>
          <w:rFonts w:cstheme="minorHAnsi"/>
          <w:lang w:val="en"/>
        </w:rPr>
        <w:t xml:space="preserve"> </w:t>
      </w:r>
      <w:r w:rsidRPr="00967CC7">
        <w:rPr>
          <w:rFonts w:cstheme="minorHAnsi"/>
          <w:color w:val="000000"/>
          <w:lang w:val="en"/>
        </w:rPr>
        <w:br/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(</w:t>
      </w:r>
      <w:r w:rsidRPr="00967CC7">
        <w:rPr>
          <w:rStyle w:val="fontstyle31"/>
          <w:rFonts w:asciiTheme="minorHAnsi" w:hAnsiTheme="minorHAnsi" w:cstheme="minorHAnsi"/>
          <w:color w:val="0000FF"/>
          <w:sz w:val="22"/>
          <w:szCs w:val="22"/>
          <w:lang w:val="en"/>
        </w:rPr>
        <w:t>http://www.bundesfinanzministerium.de</w:t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) under the heading Topics - Taxes - Tax Types</w:t>
      </w:r>
      <w:r w:rsidRPr="00967CC7">
        <w:rPr>
          <w:rFonts w:cstheme="minorHAnsi"/>
          <w:lang w:val="en"/>
        </w:rPr>
        <w:t xml:space="preserve"> - </w:t>
      </w:r>
      <w:r w:rsidRPr="00967CC7">
        <w:rPr>
          <w:rFonts w:cstheme="minorHAnsi"/>
          <w:color w:val="000000"/>
          <w:lang w:val="en"/>
        </w:rPr>
        <w:br/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Value Added Tax - VAT Application Decree.</w:t>
      </w:r>
      <w:r w:rsidRPr="00967CC7">
        <w:rPr>
          <w:rFonts w:cstheme="minorHAnsi"/>
          <w:lang w:val="en"/>
        </w:rPr>
        <w:t xml:space="preserve"> </w:t>
      </w:r>
      <w:r w:rsidRPr="00967CC7">
        <w:rPr>
          <w:rFonts w:cstheme="minorHAnsi"/>
          <w:color w:val="000000"/>
          <w:lang w:val="en"/>
        </w:rPr>
        <w:br/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On behalf of</w:t>
      </w:r>
      <w:r w:rsidRPr="00967CC7">
        <w:rPr>
          <w:rFonts w:cstheme="minorHAnsi"/>
          <w:color w:val="000000"/>
          <w:lang w:val="en"/>
        </w:rPr>
        <w:br/>
      </w:r>
      <w:r w:rsidRPr="00967CC7">
        <w:rPr>
          <w:rStyle w:val="fontstyle31"/>
          <w:rFonts w:asciiTheme="minorHAnsi" w:hAnsiTheme="minorHAnsi" w:cstheme="minorHAnsi"/>
          <w:sz w:val="22"/>
          <w:szCs w:val="22"/>
          <w:lang w:val="en"/>
        </w:rPr>
        <w:t>Bremer</w:t>
      </w:r>
    </w:p>
    <w:p w14:paraId="12A2D3E5" w14:textId="7BF02F08" w:rsidR="00967CC7" w:rsidRPr="00967CC7" w:rsidRDefault="00967CC7">
      <w:pPr>
        <w:rPr>
          <w:rFonts w:cstheme="minorHAnsi"/>
        </w:rPr>
      </w:pPr>
    </w:p>
    <w:sectPr w:rsidR="00967CC7" w:rsidRPr="0096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C7"/>
    <w:rsid w:val="009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D428"/>
  <w15:chartTrackingRefBased/>
  <w15:docId w15:val="{4F5F3814-60C7-4E70-9D2C-DEFBEC4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67CC7"/>
    <w:rPr>
      <w:rFonts w:ascii="CIDFont+F3" w:hAnsi="CIDFont+F3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67CC7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DefaultParagraphFont"/>
    <w:rsid w:val="00967CC7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Murphy</dc:creator>
  <cp:keywords/>
  <dc:description/>
  <cp:lastModifiedBy>Peggy Murphy</cp:lastModifiedBy>
  <cp:revision>1</cp:revision>
  <dcterms:created xsi:type="dcterms:W3CDTF">2022-12-12T21:28:00Z</dcterms:created>
  <dcterms:modified xsi:type="dcterms:W3CDTF">2022-12-12T21:36:00Z</dcterms:modified>
</cp:coreProperties>
</file>